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C" w:rsidRDefault="00F635DC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F635DC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F635DC" w:rsidRDefault="00174B3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F635DC" w:rsidRDefault="00174B3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CzechPOINT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F635DC" w:rsidRDefault="00F635D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F635DC" w:rsidRDefault="00174B34" w:rsidP="00174B3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Správce: obec Nespeky, Benešovská 12, 257 22</w:t>
            </w:r>
            <w:r w:rsidR="00D04D12">
              <w:rPr>
                <w:rFonts w:cs="Arial"/>
                <w:b/>
                <w:bCs/>
                <w:color w:val="000000"/>
                <w:lang w:eastAsia="cs-CZ"/>
              </w:rPr>
              <w:t xml:space="preserve">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F635DC" w:rsidRDefault="00174B34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Zajišťování kompletní agendy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cs-CZ"/>
              </w:rPr>
              <w:t>CzechPOINT</w:t>
            </w:r>
            <w:proofErr w:type="spellEnd"/>
          </w:p>
        </w:tc>
      </w:tr>
      <w:tr w:rsidR="00F635DC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F635DC" w:rsidRDefault="00174B34">
            <w:pPr>
              <w:spacing w:before="0"/>
            </w:pPr>
            <w:r>
              <w:rPr>
                <w:rStyle w:val="Internetovodkaz"/>
                <w:rFonts w:cs="Arial"/>
                <w:color w:val="000000"/>
                <w:sz w:val="20"/>
                <w:szCs w:val="20"/>
                <w:u w:val="none"/>
              </w:rPr>
              <w:t>128/2000 Sb., - Z</w:t>
            </w:r>
            <w:r>
              <w:rPr>
                <w:color w:val="000000"/>
                <w:sz w:val="20"/>
              </w:rPr>
              <w:t>ákon o obcích,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361/2000 Sb., - Zákon o provozu pozemních komunikacích a o změnách některých zákonů,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 xml:space="preserve">247/2000 Sb., - Zákon o získávání a zdokonalování odborné způsobilosti k řízení motorových vozidel a o změnách některých zákonů, 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269/1994 Sb., - Zákon o Rejstříku trestů,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256/2013 Sb., - Zákon o katastru nemovitostí (katastrální zákon),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133/2000 Sb., - Zákon o evidenci obyvatel a rodných číslech a o změně některých zákonů (zákon o evidenci obyvatel),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300/2008 Sb. - Zákon o elektronických úkonech a autorizované konverzi dokumentů,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365/2000 Sb. - Zákon o informačních systémech veřejné správy,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364/2009 Sb. - Vyhláška o kontaktních místech veřejné správy,</w:t>
            </w:r>
          </w:p>
          <w:p w:rsidR="00F635DC" w:rsidRDefault="00174B34">
            <w:pPr>
              <w:jc w:val="left"/>
            </w:pPr>
            <w:r>
              <w:rPr>
                <w:color w:val="000000"/>
                <w:sz w:val="20"/>
              </w:rPr>
              <w:t>193/2009 Sb. - Vyhláška o stanovení podrobností provádění autorizované konverze dokumentů</w:t>
            </w:r>
          </w:p>
          <w:p w:rsidR="00F635DC" w:rsidRDefault="00D04D12">
            <w:pPr>
              <w:spacing w:before="0" w:line="276" w:lineRule="auto"/>
              <w:ind w:left="720"/>
            </w:pPr>
            <w:hyperlink r:id="rId5">
              <w:r w:rsidR="00174B34">
                <w:rPr>
                  <w:rStyle w:val="Internetovodkaz"/>
                  <w:rFonts w:cs="Arial"/>
                  <w:color w:val="00000A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Klienti systému CZECH POINT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F635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widowControl w:val="0"/>
              <w:spacing w:before="0" w:line="240" w:lineRule="auto"/>
            </w:pPr>
            <w:r>
              <w:t>Jméno, příjmení, datum a místo narození, adresa bydliště, e-mail</w:t>
            </w:r>
          </w:p>
          <w:p w:rsidR="00F635DC" w:rsidRDefault="00F635D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F635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widowControl w:val="0"/>
              <w:spacing w:before="0" w:line="240" w:lineRule="auto"/>
            </w:pPr>
            <w:r>
              <w:t>V rámci podání CZECH POINT se změny odesílají správci registru:</w:t>
            </w:r>
          </w:p>
          <w:p w:rsidR="00F635DC" w:rsidRDefault="00174B34">
            <w:pPr>
              <w:widowControl w:val="0"/>
              <w:numPr>
                <w:ilvl w:val="0"/>
                <w:numId w:val="1"/>
              </w:numPr>
              <w:spacing w:before="0" w:line="240" w:lineRule="auto"/>
            </w:pPr>
            <w:r>
              <w:t>modul autovraků ISOH</w:t>
            </w:r>
          </w:p>
          <w:p w:rsidR="00F635DC" w:rsidRDefault="00174B34">
            <w:pPr>
              <w:widowControl w:val="0"/>
              <w:numPr>
                <w:ilvl w:val="0"/>
                <w:numId w:val="1"/>
              </w:numPr>
              <w:spacing w:before="0" w:line="240" w:lineRule="auto"/>
            </w:pPr>
            <w:r>
              <w:t>živnostenský úřad</w:t>
            </w:r>
          </w:p>
          <w:p w:rsidR="00F635DC" w:rsidRDefault="00174B34">
            <w:pPr>
              <w:widowControl w:val="0"/>
              <w:numPr>
                <w:ilvl w:val="0"/>
                <w:numId w:val="1"/>
              </w:numPr>
              <w:spacing w:before="0" w:line="240" w:lineRule="auto"/>
            </w:pPr>
            <w:r>
              <w:t>registr obyvatel</w:t>
            </w:r>
          </w:p>
          <w:p w:rsidR="00F635DC" w:rsidRDefault="00174B34">
            <w:pPr>
              <w:widowControl w:val="0"/>
              <w:numPr>
                <w:ilvl w:val="0"/>
                <w:numId w:val="1"/>
              </w:numPr>
              <w:spacing w:before="0" w:line="240" w:lineRule="auto"/>
            </w:pPr>
            <w:r>
              <w:t>registr osob</w:t>
            </w:r>
          </w:p>
          <w:p w:rsidR="00F635DC" w:rsidRDefault="00174B34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poskytnutí údajů třetí osobě dle zadaných identifikačních čísel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F635D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 w:rsidP="00EB0BC5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lastRenderedPageBreak/>
              <w:t xml:space="preserve">609 Výpisy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CzechPOINTU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 xml:space="preserve"> S</w:t>
            </w:r>
            <w:r w:rsidR="00EB0BC5">
              <w:rPr>
                <w:rFonts w:cs="Arial"/>
                <w:color w:val="000000"/>
                <w:sz w:val="20"/>
                <w:lang w:eastAsia="cs-CZ"/>
              </w:rPr>
              <w:t>5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F635DC" w:rsidRDefault="00174B3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F635D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widowControl w:val="0"/>
              <w:spacing w:before="0" w:line="240" w:lineRule="auto"/>
            </w:pPr>
            <w:r>
              <w:t xml:space="preserve">Žádost </w:t>
            </w:r>
          </w:p>
          <w:p w:rsidR="00F635DC" w:rsidRDefault="00F635DC">
            <w:pPr>
              <w:widowControl w:val="0"/>
              <w:spacing w:before="0" w:line="240" w:lineRule="auto"/>
            </w:pPr>
          </w:p>
          <w:p w:rsidR="00F635DC" w:rsidRDefault="00F635DC">
            <w:pPr>
              <w:widowControl w:val="0"/>
              <w:spacing w:before="0" w:line="240" w:lineRule="auto"/>
            </w:pPr>
          </w:p>
          <w:p w:rsidR="00F635DC" w:rsidRDefault="00F635DC">
            <w:pPr>
              <w:widowControl w:val="0"/>
              <w:spacing w:before="0" w:line="240" w:lineRule="auto"/>
            </w:pPr>
          </w:p>
        </w:tc>
      </w:tr>
      <w:tr w:rsidR="00F635DC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635DC" w:rsidRDefault="00174B34">
            <w:pPr>
              <w:widowControl w:val="0"/>
              <w:spacing w:before="0" w:line="240" w:lineRule="auto"/>
            </w:pPr>
            <w:r>
              <w:t>CZECH POINT</w:t>
            </w:r>
          </w:p>
          <w:p w:rsidR="00F635DC" w:rsidRDefault="00F635DC">
            <w:pPr>
              <w:widowControl w:val="0"/>
              <w:spacing w:before="0" w:line="240" w:lineRule="auto"/>
            </w:pPr>
          </w:p>
          <w:p w:rsidR="00F635DC" w:rsidRDefault="00F635DC">
            <w:pPr>
              <w:widowControl w:val="0"/>
              <w:spacing w:before="0" w:line="240" w:lineRule="auto"/>
            </w:pPr>
          </w:p>
          <w:p w:rsidR="00F635DC" w:rsidRDefault="00F635DC">
            <w:pPr>
              <w:widowControl w:val="0"/>
              <w:spacing w:before="0" w:line="240" w:lineRule="auto"/>
            </w:pPr>
          </w:p>
        </w:tc>
      </w:tr>
    </w:tbl>
    <w:p w:rsidR="00F635DC" w:rsidRDefault="00F635DC"/>
    <w:sectPr w:rsidR="00F635DC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703B"/>
    <w:multiLevelType w:val="multilevel"/>
    <w:tmpl w:val="9252D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BD640E"/>
    <w:multiLevelType w:val="multilevel"/>
    <w:tmpl w:val="74FC4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DC"/>
    <w:rsid w:val="00174B34"/>
    <w:rsid w:val="00D04D12"/>
    <w:rsid w:val="00EB0BC5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B88231-0F49-48D9-A884-26DCF68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50">
    <w:name w:val="ListLabel 250"/>
    <w:qFormat/>
    <w:rPr>
      <w:rFonts w:cs="Arial"/>
      <w:b w:val="0"/>
      <w:bCs w:val="0"/>
      <w:color w:val="00000A"/>
      <w:sz w:val="20"/>
      <w:szCs w:val="2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gov.cz/app/zakony/zakon?q=304/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19</cp:revision>
  <dcterms:created xsi:type="dcterms:W3CDTF">2018-02-15T11:11:00Z</dcterms:created>
  <dcterms:modified xsi:type="dcterms:W3CDTF">2019-05-21T13:30:00Z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