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0A" w:rsidRDefault="004E2D0A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4E2D0A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4E2D0A" w:rsidRDefault="009B4829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4E2D0A" w:rsidRDefault="009B4829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Katastr nemovitostí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4E2D0A" w:rsidRDefault="004E2D0A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9B4829" w:rsidRDefault="009B4829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Obec Nespeky, Benešovská 12, 257 22 Nespeky </w:t>
            </w:r>
          </w:p>
          <w:p w:rsidR="004E2D0A" w:rsidRDefault="009B4829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4E2D0A" w:rsidRDefault="009B4829">
            <w:pPr>
              <w:spacing w:before="0" w:line="240" w:lineRule="auto"/>
            </w:pPr>
            <w:r>
              <w:rPr>
                <w:rFonts w:ascii="Times New Roman" w:hAnsi="Times New Roman"/>
                <w:color w:val="000000"/>
              </w:rPr>
              <w:t>Zajištění podkladů pro změnu údajů o pozemcích a zápis v katastru nemovitostí.</w:t>
            </w:r>
          </w:p>
          <w:p w:rsidR="004E2D0A" w:rsidRDefault="009B4829">
            <w:pPr>
              <w:spacing w:before="0" w:line="240" w:lineRule="auto"/>
              <w:rPr>
                <w:rFonts w:cs="Arial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color w:val="000000"/>
                <w:lang w:eastAsia="cs-CZ"/>
              </w:rPr>
              <w:t>Řešení věcných břemen</w:t>
            </w:r>
          </w:p>
        </w:tc>
      </w:tr>
      <w:tr w:rsidR="004E2D0A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4E2D0A" w:rsidRDefault="009B4829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256/2013 Sb., - Zákon o katastru nemovitostí (katastrální zákon),</w:t>
            </w:r>
          </w:p>
          <w:p w:rsidR="004E2D0A" w:rsidRDefault="009B4829">
            <w:pPr>
              <w:jc w:val="left"/>
            </w:pPr>
            <w:r>
              <w:rPr>
                <w:color w:val="000000"/>
                <w:sz w:val="20"/>
              </w:rPr>
              <w:t>Vyhláška</w:t>
            </w:r>
            <w:r>
              <w:rPr>
                <w:color w:val="000000"/>
                <w:sz w:val="20"/>
              </w:rPr>
              <w:t xml:space="preserve"> č. 357/2013 Sb., o katastru nemovitostí (katastrální vyhláška),</w:t>
            </w:r>
          </w:p>
          <w:p w:rsidR="004E2D0A" w:rsidRDefault="009B4829">
            <w:pPr>
              <w:jc w:val="left"/>
            </w:pPr>
            <w:r>
              <w:rPr>
                <w:color w:val="000000"/>
                <w:sz w:val="20"/>
              </w:rPr>
              <w:t>21/2006 Sb., - Zákon o ověřování,</w:t>
            </w:r>
          </w:p>
          <w:p w:rsidR="004E2D0A" w:rsidRDefault="009B4829">
            <w:pPr>
              <w:jc w:val="left"/>
            </w:pPr>
            <w:r>
              <w:rPr>
                <w:color w:val="000000"/>
                <w:sz w:val="20"/>
              </w:rPr>
              <w:t>36/2006 Sb., - Vyhláška o ověřování shody opisu nebo kopie s listinou a o ověřování pravosti podpisu,</w:t>
            </w:r>
          </w:p>
          <w:p w:rsidR="004E2D0A" w:rsidRDefault="009B4829">
            <w:pPr>
              <w:spacing w:before="0" w:after="200" w:line="276" w:lineRule="auto"/>
              <w:jc w:val="left"/>
            </w:pPr>
            <w:r>
              <w:rPr>
                <w:rFonts w:cs="Arial"/>
                <w:color w:val="000000"/>
                <w:sz w:val="20"/>
              </w:rPr>
              <w:t>634/2004 Sb., - Zákon o správních poplatcích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</w:t>
            </w:r>
            <w:r>
              <w:rPr>
                <w:rFonts w:cs="Arial"/>
                <w:b/>
                <w:color w:val="000000"/>
                <w:lang w:eastAsia="cs-CZ"/>
              </w:rPr>
              <w:t>orie subjektů údajů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widowControl w:val="0"/>
              <w:spacing w:before="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Občané obce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4E2D0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Jméno, příjmení, titul, datum narození, rodné číslo, bydliště, datová schránka,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4E2D0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Zaměstnanci úřadu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 xml:space="preserve">V. Plánované lhůty pro výmaz kategorií osobních </w:t>
            </w:r>
            <w:r>
              <w:rPr>
                <w:rFonts w:cs="Arial"/>
                <w:b/>
                <w:lang w:eastAsia="cs-CZ"/>
              </w:rPr>
              <w:t>údajů (doba uložení)</w:t>
            </w:r>
          </w:p>
        </w:tc>
      </w:tr>
      <w:tr w:rsidR="004E2D0A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 w:rsidP="009B4829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 xml:space="preserve">Výpisy </w:t>
            </w:r>
            <w:proofErr w:type="spellStart"/>
            <w:r>
              <w:rPr>
                <w:rFonts w:cs="Arial"/>
                <w:color w:val="000000"/>
                <w:sz w:val="20"/>
                <w:lang w:eastAsia="cs-CZ"/>
              </w:rPr>
              <w:t>CzechPOINTU</w:t>
            </w:r>
            <w:proofErr w:type="spellEnd"/>
            <w:r>
              <w:rPr>
                <w:rFonts w:cs="Arial"/>
                <w:color w:val="000000"/>
                <w:sz w:val="20"/>
                <w:lang w:eastAsia="cs-CZ"/>
              </w:rPr>
              <w:t xml:space="preserve"> S5</w:t>
            </w:r>
            <w:bookmarkStart w:id="0" w:name="_GoBack"/>
            <w:bookmarkEnd w:id="0"/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4E2D0A" w:rsidRDefault="009B4829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4E2D0A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widowControl w:val="0"/>
              <w:spacing w:before="0" w:line="240" w:lineRule="auto"/>
            </w:pPr>
            <w:r>
              <w:t>Šanon v kanceláři</w:t>
            </w:r>
          </w:p>
          <w:p w:rsidR="004E2D0A" w:rsidRDefault="004E2D0A">
            <w:pPr>
              <w:widowControl w:val="0"/>
              <w:spacing w:before="0" w:line="240" w:lineRule="auto"/>
            </w:pPr>
          </w:p>
          <w:p w:rsidR="004E2D0A" w:rsidRDefault="004E2D0A">
            <w:pPr>
              <w:widowControl w:val="0"/>
              <w:spacing w:before="0" w:line="240" w:lineRule="auto"/>
            </w:pPr>
          </w:p>
          <w:p w:rsidR="004E2D0A" w:rsidRDefault="004E2D0A">
            <w:pPr>
              <w:widowControl w:val="0"/>
              <w:spacing w:before="0" w:line="240" w:lineRule="auto"/>
            </w:pPr>
          </w:p>
        </w:tc>
      </w:tr>
      <w:tr w:rsidR="004E2D0A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E2D0A" w:rsidRDefault="009B4829">
            <w:pPr>
              <w:widowControl w:val="0"/>
              <w:spacing w:before="0" w:line="240" w:lineRule="auto"/>
            </w:pPr>
            <w:proofErr w:type="spellStart"/>
            <w:r>
              <w:t>Zaheslované</w:t>
            </w:r>
            <w:proofErr w:type="spellEnd"/>
            <w:r>
              <w:t xml:space="preserve"> PC</w:t>
            </w:r>
          </w:p>
          <w:p w:rsidR="004E2D0A" w:rsidRDefault="004E2D0A">
            <w:pPr>
              <w:widowControl w:val="0"/>
              <w:spacing w:before="0" w:line="240" w:lineRule="auto"/>
            </w:pPr>
          </w:p>
          <w:p w:rsidR="004E2D0A" w:rsidRDefault="004E2D0A">
            <w:pPr>
              <w:widowControl w:val="0"/>
              <w:spacing w:before="0" w:line="240" w:lineRule="auto"/>
            </w:pPr>
          </w:p>
          <w:p w:rsidR="004E2D0A" w:rsidRDefault="004E2D0A">
            <w:pPr>
              <w:widowControl w:val="0"/>
              <w:spacing w:before="0" w:line="240" w:lineRule="auto"/>
            </w:pPr>
          </w:p>
        </w:tc>
      </w:tr>
    </w:tbl>
    <w:p w:rsidR="004E2D0A" w:rsidRDefault="004E2D0A"/>
    <w:sectPr w:rsidR="004E2D0A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0A"/>
    <w:rsid w:val="004E2D0A"/>
    <w:rsid w:val="009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ECACF6-BFB8-4805-B9E5-86170C57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1017</Characters>
  <Application>Microsoft Office Word</Application>
  <DocSecurity>0</DocSecurity>
  <Lines>8</Lines>
  <Paragraphs>2</Paragraphs>
  <ScaleCrop>false</ScaleCrop>
  <Company>MV ČR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2019-05-10T10:30:00Z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