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F9D" w:rsidRDefault="00E06F9D">
      <w:pPr>
        <w:rPr>
          <w:rFonts w:cs="Arial"/>
        </w:rPr>
      </w:pPr>
    </w:p>
    <w:tbl>
      <w:tblPr>
        <w:tblW w:w="925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55" w:type="dxa"/>
          <w:right w:w="70" w:type="dxa"/>
        </w:tblCellMar>
        <w:tblLook w:val="00A0" w:firstRow="1" w:lastRow="0" w:firstColumn="1" w:lastColumn="0" w:noHBand="0" w:noVBand="0"/>
      </w:tblPr>
      <w:tblGrid>
        <w:gridCol w:w="9255"/>
      </w:tblGrid>
      <w:tr w:rsidR="00E06F9D">
        <w:trPr>
          <w:trHeight w:val="1633"/>
        </w:trPr>
        <w:tc>
          <w:tcPr>
            <w:tcW w:w="92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BE4D5" w:themeFill="accent2" w:themeFillTint="33"/>
            <w:vAlign w:val="center"/>
          </w:tcPr>
          <w:p w:rsidR="00E06F9D" w:rsidRDefault="00600778">
            <w:pPr>
              <w:spacing w:before="60" w:after="60" w:line="240" w:lineRule="auto"/>
              <w:jc w:val="center"/>
            </w:pPr>
            <w:r>
              <w:rPr>
                <w:rFonts w:cs="Arial"/>
                <w:b/>
                <w:bCs/>
                <w:color w:val="000000"/>
                <w:lang w:eastAsia="cs-CZ"/>
              </w:rPr>
              <w:t xml:space="preserve">Záznam o činnostech zpracování </w:t>
            </w:r>
          </w:p>
          <w:p w:rsidR="00E06F9D" w:rsidRDefault="00600778">
            <w:pPr>
              <w:spacing w:before="60" w:after="60" w:line="240" w:lineRule="auto"/>
              <w:jc w:val="center"/>
            </w:pPr>
            <w:r>
              <w:rPr>
                <w:rFonts w:cs="Arial"/>
                <w:b/>
                <w:bCs/>
                <w:color w:val="000000"/>
                <w:lang w:eastAsia="cs-CZ"/>
              </w:rPr>
              <w:t xml:space="preserve"> Životní prostředí</w:t>
            </w:r>
            <w:r>
              <w:rPr>
                <w:rFonts w:cs="Arial"/>
                <w:b/>
                <w:bCs/>
                <w:color w:val="000000"/>
                <w:lang w:eastAsia="cs-CZ"/>
              </w:rPr>
              <w:br/>
              <w:t>čl. 30 odst. 1 obecného nařízení o ochraně osobních údajů (GDPR)</w:t>
            </w:r>
          </w:p>
          <w:p w:rsidR="00E06F9D" w:rsidRDefault="00E06F9D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:rsidR="00E06F9D" w:rsidRDefault="00600778">
            <w:pPr>
              <w:spacing w:before="60" w:after="60" w:line="240" w:lineRule="auto"/>
              <w:jc w:val="left"/>
            </w:pPr>
            <w:r>
              <w:rPr>
                <w:rFonts w:cs="Arial"/>
                <w:b/>
                <w:bCs/>
                <w:color w:val="000000"/>
                <w:lang w:eastAsia="cs-CZ"/>
              </w:rPr>
              <w:t xml:space="preserve">Správce: </w:t>
            </w:r>
            <w:r w:rsidR="00695C62">
              <w:rPr>
                <w:rFonts w:cs="Arial"/>
                <w:b/>
                <w:bCs/>
                <w:color w:val="000000"/>
                <w:lang w:eastAsia="cs-CZ"/>
              </w:rPr>
              <w:t>Obec Nespeky, Benešovská 12, 257 22 Nespeky</w:t>
            </w:r>
            <w:r>
              <w:rPr>
                <w:rFonts w:cs="Arial"/>
                <w:b/>
                <w:bCs/>
                <w:color w:val="000000"/>
                <w:lang w:eastAsia="cs-CZ"/>
              </w:rPr>
              <w:br/>
              <w:t xml:space="preserve">Pověřenec pro ochranu osobních údajů: </w:t>
            </w:r>
            <w:r>
              <w:rPr>
                <w:rFonts w:cs="Arial"/>
                <w:b/>
                <w:bCs/>
                <w:i/>
                <w:iCs/>
                <w:color w:val="000000"/>
                <w:lang w:eastAsia="cs-CZ"/>
              </w:rPr>
              <w:t xml:space="preserve">Ing. Jan </w:t>
            </w:r>
            <w:proofErr w:type="spellStart"/>
            <w:r>
              <w:rPr>
                <w:rFonts w:cs="Arial"/>
                <w:b/>
                <w:bCs/>
                <w:i/>
                <w:iCs/>
                <w:color w:val="000000"/>
                <w:lang w:eastAsia="cs-CZ"/>
              </w:rPr>
              <w:t>Gubáš</w:t>
            </w:r>
            <w:proofErr w:type="spellEnd"/>
            <w:r>
              <w:rPr>
                <w:rFonts w:cs="Arial"/>
                <w:b/>
                <w:bCs/>
                <w:i/>
                <w:iCs/>
                <w:color w:val="000000"/>
                <w:lang w:eastAsia="cs-CZ"/>
              </w:rPr>
              <w:t xml:space="preserve"> , gubas@catania.cz</w:t>
            </w:r>
          </w:p>
        </w:tc>
      </w:tr>
      <w:tr w:rsidR="00E06F9D">
        <w:trPr>
          <w:trHeight w:val="454"/>
        </w:trPr>
        <w:tc>
          <w:tcPr>
            <w:tcW w:w="92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EEAF6" w:themeFill="accent1" w:themeFillTint="33"/>
            <w:vAlign w:val="center"/>
          </w:tcPr>
          <w:p w:rsidR="00E06F9D" w:rsidRDefault="00600778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>I. Účely zpracování</w:t>
            </w:r>
          </w:p>
        </w:tc>
      </w:tr>
      <w:tr w:rsidR="00E06F9D">
        <w:trPr>
          <w:trHeight w:val="454"/>
        </w:trPr>
        <w:tc>
          <w:tcPr>
            <w:tcW w:w="92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BE4D5" w:themeFill="accent2" w:themeFillTint="33"/>
            <w:vAlign w:val="center"/>
          </w:tcPr>
          <w:p w:rsidR="00E06F9D" w:rsidRDefault="00600778">
            <w:pPr>
              <w:widowControl w:val="0"/>
              <w:spacing w:before="0" w:line="240" w:lineRule="auto"/>
              <w:jc w:val="left"/>
              <w:rPr>
                <w:rFonts w:cs="Arial"/>
                <w:b/>
                <w:bCs/>
                <w:lang w:eastAsia="cs-CZ"/>
              </w:rPr>
            </w:pPr>
            <w:r>
              <w:rPr>
                <w:rFonts w:cs="Arial"/>
                <w:bCs/>
                <w:color w:val="000000"/>
                <w:sz w:val="20"/>
                <w:lang w:eastAsia="cs-CZ"/>
              </w:rPr>
              <w:t>Správní řízení v oblasti životního prostředí</w:t>
            </w:r>
          </w:p>
        </w:tc>
      </w:tr>
      <w:tr w:rsidR="00E06F9D">
        <w:trPr>
          <w:trHeight w:val="1368"/>
        </w:trPr>
        <w:tc>
          <w:tcPr>
            <w:tcW w:w="92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06F9D" w:rsidRDefault="00600778">
            <w:pPr>
              <w:spacing w:before="60" w:after="120" w:line="240" w:lineRule="auto"/>
              <w:jc w:val="left"/>
              <w:rPr>
                <w:rFonts w:cs="Arial"/>
                <w:b/>
                <w:lang w:eastAsia="cs-CZ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>Čl. 6 odst. 1 písm. c) GDPR - zpracování nezbytné pro plnění právní povinnosti:</w:t>
            </w:r>
          </w:p>
          <w:p w:rsidR="00E06F9D" w:rsidRDefault="00600778">
            <w:pPr>
              <w:widowControl w:val="0"/>
              <w:spacing w:before="0" w:line="240" w:lineRule="auto"/>
            </w:pPr>
            <w:r>
              <w:rPr>
                <w:color w:val="000000"/>
                <w:sz w:val="20"/>
              </w:rPr>
              <w:t>114/1992 Sb., - Zákon o ochraně přírody a krajiny,</w:t>
            </w:r>
          </w:p>
          <w:p w:rsidR="00E06F9D" w:rsidRDefault="00600778">
            <w:pPr>
              <w:jc w:val="left"/>
            </w:pPr>
            <w:r>
              <w:rPr>
                <w:color w:val="000000"/>
                <w:sz w:val="20"/>
              </w:rPr>
              <w:t>201/2012 Sb., - Zákon o ochraně ovzduší,</w:t>
            </w:r>
          </w:p>
          <w:p w:rsidR="00E06F9D" w:rsidRDefault="00600778">
            <w:pPr>
              <w:jc w:val="left"/>
            </w:pPr>
            <w:r>
              <w:rPr>
                <w:color w:val="000000"/>
                <w:sz w:val="20"/>
              </w:rPr>
              <w:t xml:space="preserve">254/2001 Sb., - Zákon o vodách a o </w:t>
            </w:r>
            <w:r>
              <w:rPr>
                <w:color w:val="000000"/>
                <w:sz w:val="20"/>
              </w:rPr>
              <w:t>změně některých zákonů (vodní zákon),</w:t>
            </w:r>
          </w:p>
          <w:p w:rsidR="00E06F9D" w:rsidRDefault="00600778">
            <w:pPr>
              <w:jc w:val="left"/>
            </w:pPr>
            <w:r>
              <w:rPr>
                <w:color w:val="000000"/>
                <w:sz w:val="20"/>
              </w:rPr>
              <w:t>185/2001 Sb., - Zákon o odpadech a o změně některých dalších zákonů,</w:t>
            </w:r>
          </w:p>
          <w:p w:rsidR="00E06F9D" w:rsidRDefault="00600778">
            <w:pPr>
              <w:jc w:val="left"/>
            </w:pPr>
            <w:r>
              <w:rPr>
                <w:color w:val="000000"/>
                <w:sz w:val="20"/>
              </w:rPr>
              <w:t>634/2004 Sb., - Zákon o správních poplatcích,</w:t>
            </w:r>
          </w:p>
          <w:p w:rsidR="00E06F9D" w:rsidRDefault="00600778">
            <w:pPr>
              <w:jc w:val="left"/>
            </w:pPr>
            <w:r>
              <w:rPr>
                <w:color w:val="000000"/>
                <w:sz w:val="20"/>
              </w:rPr>
              <w:t>500/2004 Sb., - Správní řád,</w:t>
            </w:r>
          </w:p>
          <w:p w:rsidR="00E06F9D" w:rsidRDefault="00600778">
            <w:pPr>
              <w:jc w:val="left"/>
            </w:pPr>
            <w:r>
              <w:rPr>
                <w:color w:val="000000"/>
                <w:sz w:val="20"/>
              </w:rPr>
              <w:t>89/2012 Sb., - Občanský zákoník,</w:t>
            </w:r>
          </w:p>
          <w:p w:rsidR="00E06F9D" w:rsidRDefault="00600778">
            <w:pPr>
              <w:jc w:val="left"/>
            </w:pPr>
            <w:r>
              <w:rPr>
                <w:color w:val="000000"/>
                <w:sz w:val="20"/>
              </w:rPr>
              <w:t>128/2000 Sb., - Zákon o obcích,</w:t>
            </w:r>
          </w:p>
          <w:p w:rsidR="00E06F9D" w:rsidRDefault="00600778">
            <w:pPr>
              <w:spacing w:before="0" w:after="200" w:line="276" w:lineRule="auto"/>
              <w:jc w:val="left"/>
            </w:pPr>
            <w:r>
              <w:rPr>
                <w:rFonts w:cs="Arial"/>
                <w:color w:val="000000"/>
                <w:sz w:val="20"/>
              </w:rPr>
              <w:t xml:space="preserve">+ další </w:t>
            </w:r>
            <w:r>
              <w:rPr>
                <w:rFonts w:cs="Arial"/>
                <w:color w:val="000000"/>
                <w:sz w:val="20"/>
              </w:rPr>
              <w:t>složkové zákony z oblasti ochrany životního prostředí</w:t>
            </w:r>
          </w:p>
        </w:tc>
      </w:tr>
      <w:tr w:rsidR="00E06F9D">
        <w:trPr>
          <w:trHeight w:val="454"/>
        </w:trPr>
        <w:tc>
          <w:tcPr>
            <w:tcW w:w="92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EEAF6" w:themeFill="accent1" w:themeFillTint="33"/>
            <w:vAlign w:val="center"/>
          </w:tcPr>
          <w:p w:rsidR="00E06F9D" w:rsidRDefault="00600778">
            <w:pPr>
              <w:spacing w:before="60" w:after="60" w:line="240" w:lineRule="auto"/>
              <w:jc w:val="left"/>
              <w:rPr>
                <w:rFonts w:cs="Arial"/>
                <w:b/>
                <w:lang w:eastAsia="cs-CZ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E06F9D">
        <w:trPr>
          <w:trHeight w:val="454"/>
        </w:trPr>
        <w:tc>
          <w:tcPr>
            <w:tcW w:w="92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06F9D" w:rsidRDefault="00E06F9D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</w:p>
        </w:tc>
      </w:tr>
      <w:tr w:rsidR="00E06F9D">
        <w:trPr>
          <w:trHeight w:val="454"/>
        </w:trPr>
        <w:tc>
          <w:tcPr>
            <w:tcW w:w="92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EEAF6" w:themeFill="accent1" w:themeFillTint="33"/>
            <w:vAlign w:val="center"/>
          </w:tcPr>
          <w:p w:rsidR="00E06F9D" w:rsidRDefault="00600778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E06F9D">
        <w:trPr>
          <w:trHeight w:val="794"/>
        </w:trPr>
        <w:tc>
          <w:tcPr>
            <w:tcW w:w="92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06F9D" w:rsidRDefault="00600778">
            <w:pPr>
              <w:widowControl w:val="0"/>
              <w:spacing w:before="0" w:line="240" w:lineRule="auto"/>
            </w:pPr>
            <w:r>
              <w:rPr>
                <w:color w:val="000000"/>
                <w:sz w:val="20"/>
              </w:rPr>
              <w:t>Jméno, příjmení, titul, trvalé bydliště, e-mail, telefon, místo pobytu, číslo pozemku, podpis, spis řízení</w:t>
            </w:r>
          </w:p>
          <w:p w:rsidR="00E06F9D" w:rsidRDefault="00E06F9D">
            <w:pPr>
              <w:widowControl w:val="0"/>
              <w:spacing w:before="0" w:line="240" w:lineRule="auto"/>
              <w:rPr>
                <w:rFonts w:cs="Arial"/>
                <w:lang w:eastAsia="cs-CZ"/>
              </w:rPr>
            </w:pPr>
          </w:p>
        </w:tc>
      </w:tr>
      <w:tr w:rsidR="00E06F9D">
        <w:trPr>
          <w:trHeight w:val="454"/>
        </w:trPr>
        <w:tc>
          <w:tcPr>
            <w:tcW w:w="92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EEAF6" w:themeFill="accent1" w:themeFillTint="33"/>
            <w:vAlign w:val="center"/>
          </w:tcPr>
          <w:p w:rsidR="00E06F9D" w:rsidRDefault="00600778">
            <w:pPr>
              <w:spacing w:before="60" w:after="60" w:line="240" w:lineRule="auto"/>
              <w:jc w:val="left"/>
            </w:pPr>
            <w:r>
              <w:rPr>
                <w:rFonts w:cs="Arial"/>
                <w:b/>
                <w:color w:val="000000"/>
                <w:lang w:eastAsia="cs-CZ"/>
              </w:rPr>
              <w:t xml:space="preserve">IV. Kategorie příjemců </w:t>
            </w:r>
            <w:r>
              <w:rPr>
                <w:rFonts w:cs="Arial"/>
                <w:b/>
                <w:color w:val="000000"/>
                <w:lang w:eastAsia="cs-CZ"/>
              </w:rPr>
              <w:t>(zpřístupnění)</w:t>
            </w:r>
          </w:p>
        </w:tc>
      </w:tr>
      <w:tr w:rsidR="00E06F9D">
        <w:trPr>
          <w:trHeight w:val="794"/>
        </w:trPr>
        <w:tc>
          <w:tcPr>
            <w:tcW w:w="92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06F9D" w:rsidRDefault="00E06F9D">
            <w:pPr>
              <w:spacing w:before="60" w:after="60" w:line="240" w:lineRule="auto"/>
              <w:rPr>
                <w:rFonts w:cs="Arial"/>
                <w:lang w:eastAsia="cs-CZ"/>
              </w:rPr>
            </w:pPr>
          </w:p>
        </w:tc>
      </w:tr>
      <w:tr w:rsidR="00E06F9D">
        <w:trPr>
          <w:trHeight w:val="454"/>
        </w:trPr>
        <w:tc>
          <w:tcPr>
            <w:tcW w:w="92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EEAF6" w:themeFill="accent1" w:themeFillTint="33"/>
            <w:vAlign w:val="center"/>
          </w:tcPr>
          <w:p w:rsidR="00E06F9D" w:rsidRDefault="00600778">
            <w:pPr>
              <w:spacing w:before="60" w:after="60" w:line="240" w:lineRule="auto"/>
            </w:pPr>
            <w:r>
              <w:rPr>
                <w:rFonts w:cs="Arial"/>
                <w:b/>
                <w:lang w:eastAsia="cs-CZ"/>
              </w:rPr>
              <w:t>V. Plánované lhůty pro výmaz kategorií osobních údajů (doba uložení)</w:t>
            </w:r>
          </w:p>
        </w:tc>
      </w:tr>
      <w:tr w:rsidR="00E06F9D">
        <w:trPr>
          <w:trHeight w:val="794"/>
        </w:trPr>
        <w:tc>
          <w:tcPr>
            <w:tcW w:w="92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06F9D" w:rsidRDefault="00600778">
            <w:pPr>
              <w:widowControl w:val="0"/>
              <w:spacing w:before="0" w:line="240" w:lineRule="auto"/>
            </w:pPr>
            <w:r>
              <w:rPr>
                <w:color w:val="000000"/>
                <w:sz w:val="20"/>
              </w:rPr>
              <w:t xml:space="preserve">245 Ochrana ovzduší  </w:t>
            </w:r>
          </w:p>
          <w:p w:rsidR="00E06F9D" w:rsidRDefault="00600778">
            <w:pPr>
              <w:jc w:val="left"/>
            </w:pPr>
            <w:r>
              <w:rPr>
                <w:color w:val="000000"/>
                <w:sz w:val="20"/>
              </w:rPr>
              <w:t>245.1 Rozhodnutí podle právních předpisů na ochranu ovzduší    A5</w:t>
            </w:r>
          </w:p>
          <w:p w:rsidR="00E06F9D" w:rsidRDefault="00600778">
            <w:pPr>
              <w:jc w:val="left"/>
            </w:pPr>
            <w:r>
              <w:rPr>
                <w:color w:val="000000"/>
                <w:sz w:val="20"/>
              </w:rPr>
              <w:t>245.2 Snižování emisí, stanovení emisních limitů S5</w:t>
            </w:r>
          </w:p>
          <w:p w:rsidR="00E06F9D" w:rsidRDefault="00600778">
            <w:pPr>
              <w:jc w:val="left"/>
            </w:pPr>
            <w:r>
              <w:rPr>
                <w:color w:val="000000"/>
                <w:sz w:val="20"/>
              </w:rPr>
              <w:t>245.3 Poplatky za znečištění</w:t>
            </w:r>
            <w:r>
              <w:rPr>
                <w:color w:val="000000"/>
                <w:sz w:val="20"/>
              </w:rPr>
              <w:t xml:space="preserve"> ovzduší S5</w:t>
            </w:r>
          </w:p>
          <w:p w:rsidR="00E06F9D" w:rsidRDefault="00600778">
            <w:pPr>
              <w:jc w:val="left"/>
            </w:pPr>
            <w:r>
              <w:rPr>
                <w:color w:val="000000"/>
                <w:sz w:val="20"/>
              </w:rPr>
              <w:t>245.4 Regulační opatření při inverzních stavech ovzduší S5</w:t>
            </w:r>
          </w:p>
          <w:p w:rsidR="00E06F9D" w:rsidRDefault="00600778">
            <w:pPr>
              <w:jc w:val="left"/>
            </w:pPr>
            <w:r>
              <w:rPr>
                <w:color w:val="000000"/>
                <w:sz w:val="20"/>
              </w:rPr>
              <w:t>245.5 Evidence stacionárních zdrojů V5</w:t>
            </w:r>
          </w:p>
          <w:p w:rsidR="00E06F9D" w:rsidRDefault="00600778">
            <w:pPr>
              <w:jc w:val="left"/>
            </w:pPr>
            <w:r>
              <w:rPr>
                <w:color w:val="000000"/>
                <w:sz w:val="20"/>
              </w:rPr>
              <w:lastRenderedPageBreak/>
              <w:t>245.</w:t>
            </w:r>
            <w:r w:rsidR="00695C62"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 xml:space="preserve"> Dozor nad ochranou ovzduší S5</w:t>
            </w:r>
          </w:p>
          <w:p w:rsidR="00E06F9D" w:rsidRDefault="00600778">
            <w:pPr>
              <w:jc w:val="left"/>
            </w:pPr>
            <w:r>
              <w:rPr>
                <w:color w:val="000000"/>
                <w:sz w:val="20"/>
              </w:rPr>
              <w:t xml:space="preserve">246 Ochrana přírody  </w:t>
            </w:r>
          </w:p>
          <w:p w:rsidR="00E06F9D" w:rsidRDefault="00600778">
            <w:pPr>
              <w:jc w:val="left"/>
            </w:pPr>
            <w:r>
              <w:rPr>
                <w:color w:val="000000"/>
                <w:sz w:val="20"/>
              </w:rPr>
              <w:t>246.</w:t>
            </w:r>
            <w:r w:rsidR="00695C62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 xml:space="preserve"> </w:t>
            </w:r>
            <w:r w:rsidR="00695C62">
              <w:rPr>
                <w:color w:val="000000"/>
                <w:sz w:val="20"/>
              </w:rPr>
              <w:t>Rozhodnutí o výjimkách z chráněných částí přírody</w:t>
            </w:r>
            <w:r>
              <w:rPr>
                <w:color w:val="000000"/>
                <w:sz w:val="20"/>
              </w:rPr>
              <w:t xml:space="preserve">   A5</w:t>
            </w:r>
          </w:p>
          <w:p w:rsidR="00E06F9D" w:rsidRDefault="00600778">
            <w:pPr>
              <w:jc w:val="left"/>
            </w:pPr>
            <w:r>
              <w:rPr>
                <w:color w:val="000000"/>
                <w:sz w:val="20"/>
              </w:rPr>
              <w:t>246.</w:t>
            </w:r>
            <w:r w:rsidR="00695C62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 xml:space="preserve"> </w:t>
            </w:r>
            <w:r w:rsidR="00695C62">
              <w:rPr>
                <w:color w:val="000000"/>
                <w:sz w:val="20"/>
              </w:rPr>
              <w:t>Chráněné části přírody V</w:t>
            </w:r>
            <w:r>
              <w:rPr>
                <w:color w:val="000000"/>
                <w:sz w:val="20"/>
              </w:rPr>
              <w:t>5</w:t>
            </w:r>
          </w:p>
          <w:p w:rsidR="00E06F9D" w:rsidRDefault="00695C62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246.4 Ochrana krajinného rázu, zásahy do </w:t>
            </w:r>
            <w:r w:rsidR="00600778">
              <w:rPr>
                <w:color w:val="000000"/>
                <w:sz w:val="20"/>
              </w:rPr>
              <w:t>246.1</w:t>
            </w:r>
            <w:r>
              <w:rPr>
                <w:color w:val="000000"/>
                <w:sz w:val="20"/>
              </w:rPr>
              <w:t>0</w:t>
            </w:r>
            <w:r w:rsidR="00600778">
              <w:rPr>
                <w:color w:val="000000"/>
                <w:sz w:val="20"/>
              </w:rPr>
              <w:t xml:space="preserve"> Kácení dřevin rostoucích mimo les</w:t>
            </w:r>
            <w:r>
              <w:rPr>
                <w:color w:val="000000"/>
                <w:sz w:val="20"/>
              </w:rPr>
              <w:t xml:space="preserve"> V5</w:t>
            </w:r>
            <w:r w:rsidR="00600778">
              <w:rPr>
                <w:color w:val="000000"/>
                <w:sz w:val="20"/>
              </w:rPr>
              <w:t xml:space="preserve">    </w:t>
            </w:r>
          </w:p>
          <w:p w:rsidR="00600778" w:rsidRDefault="00600778">
            <w:pPr>
              <w:jc w:val="left"/>
            </w:pPr>
            <w:r>
              <w:rPr>
                <w:color w:val="000000"/>
                <w:sz w:val="20"/>
              </w:rPr>
              <w:t>246.6 Vyjádření ke stavbám pro územní řízení V5</w:t>
            </w:r>
          </w:p>
          <w:p w:rsidR="00E06F9D" w:rsidRDefault="00600778">
            <w:pPr>
              <w:jc w:val="left"/>
            </w:pPr>
            <w:r>
              <w:rPr>
                <w:color w:val="000000"/>
                <w:sz w:val="20"/>
              </w:rPr>
              <w:t xml:space="preserve">246.10 </w:t>
            </w:r>
            <w:bookmarkStart w:id="0" w:name="_GoBack"/>
            <w:bookmarkEnd w:id="0"/>
            <w:r>
              <w:rPr>
                <w:color w:val="000000"/>
                <w:sz w:val="20"/>
              </w:rPr>
              <w:t>Kácení dřevin rostoucích mimo les V5</w:t>
            </w:r>
          </w:p>
          <w:p w:rsidR="00E06F9D" w:rsidRDefault="00E06F9D">
            <w:pPr>
              <w:widowControl w:val="0"/>
              <w:spacing w:before="0" w:line="240" w:lineRule="auto"/>
            </w:pPr>
          </w:p>
        </w:tc>
      </w:tr>
      <w:tr w:rsidR="00E06F9D">
        <w:trPr>
          <w:trHeight w:val="454"/>
        </w:trPr>
        <w:tc>
          <w:tcPr>
            <w:tcW w:w="92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EEAF6" w:themeFill="accent1" w:themeFillTint="33"/>
            <w:vAlign w:val="center"/>
          </w:tcPr>
          <w:p w:rsidR="00E06F9D" w:rsidRDefault="00600778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>
              <w:rPr>
                <w:rFonts w:cs="Arial"/>
                <w:b/>
                <w:lang w:eastAsia="cs-CZ"/>
              </w:rPr>
              <w:lastRenderedPageBreak/>
              <w:t xml:space="preserve">VI. Obecný popis </w:t>
            </w:r>
            <w:r>
              <w:rPr>
                <w:rFonts w:cs="Arial"/>
                <w:b/>
                <w:lang w:eastAsia="cs-CZ"/>
              </w:rPr>
              <w:t>technických a organizačních bezpečnostních opatření</w:t>
            </w:r>
          </w:p>
        </w:tc>
      </w:tr>
      <w:tr w:rsidR="00E06F9D">
        <w:trPr>
          <w:trHeight w:val="454"/>
        </w:trPr>
        <w:tc>
          <w:tcPr>
            <w:tcW w:w="92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06F9D" w:rsidRDefault="00E06F9D">
            <w:pPr>
              <w:spacing w:before="60" w:after="60" w:line="240" w:lineRule="auto"/>
              <w:rPr>
                <w:rFonts w:cs="Arial"/>
                <w:lang w:eastAsia="cs-CZ"/>
              </w:rPr>
            </w:pPr>
          </w:p>
        </w:tc>
      </w:tr>
    </w:tbl>
    <w:p w:rsidR="00E06F9D" w:rsidRDefault="00E06F9D"/>
    <w:sectPr w:rsidR="00E06F9D">
      <w:pgSz w:w="11906" w:h="16838"/>
      <w:pgMar w:top="56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9D"/>
    <w:rsid w:val="00600778"/>
    <w:rsid w:val="00695C62"/>
    <w:rsid w:val="00E0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279FEA9-2D50-46D7-8399-D63C830C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689"/>
    <w:pPr>
      <w:spacing w:before="200" w:line="288" w:lineRule="auto"/>
      <w:jc w:val="both"/>
    </w:pPr>
    <w:rPr>
      <w:rFonts w:ascii="Arial" w:eastAsia="Times New Roman" w:hAnsi="Arial" w:cs="Times New Roman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before="0"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CzechPoint</cp:lastModifiedBy>
  <cp:revision>16</cp:revision>
  <dcterms:created xsi:type="dcterms:W3CDTF">2018-02-15T11:11:00Z</dcterms:created>
  <dcterms:modified xsi:type="dcterms:W3CDTF">2019-05-22T12:22:00Z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MV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