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DB" w:rsidRDefault="000007DB">
      <w:pPr>
        <w:rPr>
          <w:rFonts w:cs="Arial"/>
        </w:rPr>
      </w:pPr>
    </w:p>
    <w:tbl>
      <w:tblPr>
        <w:tblW w:w="925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55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0007DB">
        <w:trPr>
          <w:trHeight w:val="1633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0007DB" w:rsidRDefault="003B1F11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</w:p>
          <w:p w:rsidR="000007DB" w:rsidRDefault="003B1F11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Evidence obyvatel 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:rsidR="000007DB" w:rsidRDefault="000007DB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0007DB" w:rsidRDefault="003B1F11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="00C465E8">
              <w:rPr>
                <w:rFonts w:cs="Arial"/>
                <w:b/>
                <w:bCs/>
                <w:color w:val="000000"/>
                <w:lang w:eastAsia="cs-CZ"/>
              </w:rPr>
              <w:t>Obec Nespeky, Benešovská 12, 257 22 Nespeky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Ing. Jan 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>Gubáš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 , gubas@catania.cz</w:t>
            </w:r>
          </w:p>
        </w:tc>
      </w:tr>
      <w:tr w:rsidR="000007DB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0007DB" w:rsidRDefault="003B1F1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0007DB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0007DB" w:rsidRDefault="003B1F11">
            <w:pPr>
              <w:widowControl w:val="0"/>
              <w:spacing w:before="0" w:line="240" w:lineRule="auto"/>
            </w:pPr>
            <w:r>
              <w:rPr>
                <w:sz w:val="20"/>
                <w:szCs w:val="20"/>
              </w:rPr>
              <w:t>Evidence obyvatel – přihlašování k trvalému pobytu</w:t>
            </w:r>
          </w:p>
          <w:p w:rsidR="000007DB" w:rsidRDefault="003B1F11">
            <w:pPr>
              <w:widowControl w:val="0"/>
              <w:spacing w:before="0" w:line="240" w:lineRule="auto"/>
            </w:pPr>
            <w:r>
              <w:rPr>
                <w:sz w:val="20"/>
                <w:szCs w:val="20"/>
              </w:rPr>
              <w:t xml:space="preserve">                              </w:t>
            </w:r>
            <w:proofErr w:type="gramStart"/>
            <w:r>
              <w:rPr>
                <w:sz w:val="20"/>
                <w:szCs w:val="20"/>
              </w:rPr>
              <w:t>-  rušení</w:t>
            </w:r>
            <w:proofErr w:type="gramEnd"/>
            <w:r>
              <w:rPr>
                <w:sz w:val="20"/>
                <w:szCs w:val="20"/>
              </w:rPr>
              <w:t xml:space="preserve"> trvalého pobytu </w:t>
            </w:r>
          </w:p>
          <w:p w:rsidR="000007DB" w:rsidRDefault="003B1F11">
            <w:pPr>
              <w:widowControl w:val="0"/>
              <w:spacing w:before="0" w:line="240" w:lineRule="auto"/>
            </w:pPr>
            <w:r>
              <w:rPr>
                <w:sz w:val="20"/>
                <w:szCs w:val="20"/>
              </w:rPr>
              <w:t xml:space="preserve">                              </w:t>
            </w:r>
            <w:proofErr w:type="gramStart"/>
            <w:r>
              <w:rPr>
                <w:sz w:val="20"/>
                <w:szCs w:val="20"/>
              </w:rPr>
              <w:t>-  ukončení</w:t>
            </w:r>
            <w:proofErr w:type="gramEnd"/>
            <w:r>
              <w:rPr>
                <w:sz w:val="20"/>
                <w:szCs w:val="20"/>
              </w:rPr>
              <w:t xml:space="preserve"> trvalého pobytu</w:t>
            </w:r>
          </w:p>
          <w:p w:rsidR="000007DB" w:rsidRDefault="003B1F11">
            <w:pPr>
              <w:widowControl w:val="0"/>
              <w:spacing w:before="0" w:line="240" w:lineRule="auto"/>
            </w:pPr>
            <w:r>
              <w:rPr>
                <w:sz w:val="20"/>
                <w:szCs w:val="20"/>
              </w:rPr>
              <w:t xml:space="preserve">                              </w:t>
            </w:r>
            <w:proofErr w:type="gramStart"/>
            <w:r>
              <w:rPr>
                <w:sz w:val="20"/>
                <w:szCs w:val="20"/>
              </w:rPr>
              <w:t>-  poskytování</w:t>
            </w:r>
            <w:proofErr w:type="gramEnd"/>
            <w:r>
              <w:rPr>
                <w:sz w:val="20"/>
                <w:szCs w:val="20"/>
              </w:rPr>
              <w:t xml:space="preserve"> údajů z informačního systému – občanům, zákonným </w:t>
            </w:r>
          </w:p>
          <w:p w:rsidR="000007DB" w:rsidRDefault="003B1F11">
            <w:pPr>
              <w:widowControl w:val="0"/>
              <w:spacing w:before="0" w:line="240" w:lineRule="auto"/>
            </w:pPr>
            <w:r>
              <w:rPr>
                <w:sz w:val="20"/>
                <w:szCs w:val="20"/>
              </w:rPr>
              <w:t xml:space="preserve">                                 zástupcům, opatrovníkům, zmocněncům, subjektům na základě</w:t>
            </w:r>
          </w:p>
          <w:p w:rsidR="000007DB" w:rsidRDefault="003B1F11">
            <w:pPr>
              <w:widowControl w:val="0"/>
              <w:spacing w:before="0" w:line="240" w:lineRule="auto"/>
            </w:pPr>
            <w:r>
              <w:rPr>
                <w:sz w:val="20"/>
                <w:szCs w:val="20"/>
              </w:rPr>
              <w:t xml:space="preserve"> zákona.</w:t>
            </w:r>
          </w:p>
          <w:p w:rsidR="000007DB" w:rsidRDefault="003B1F11">
            <w:pPr>
              <w:pStyle w:val="Odstavecseseznamem"/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rFonts w:cs="Arial"/>
                <w:b/>
                <w:bCs/>
                <w:lang w:eastAsia="cs-CZ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cs-CZ"/>
              </w:rPr>
              <w:t>pomoc při zprostředkování kontaktu</w:t>
            </w:r>
          </w:p>
        </w:tc>
      </w:tr>
      <w:tr w:rsidR="000007DB">
        <w:trPr>
          <w:trHeight w:val="1368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007DB" w:rsidRDefault="003B1F1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0007DB" w:rsidRDefault="003B1F11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t>111/2009 Sb., - Zákon o základních registrech,</w:t>
            </w:r>
          </w:p>
          <w:p w:rsidR="000007DB" w:rsidRDefault="003B1F11">
            <w:pPr>
              <w:jc w:val="left"/>
            </w:pPr>
            <w:r>
              <w:rPr>
                <w:color w:val="000000"/>
                <w:sz w:val="20"/>
              </w:rPr>
              <w:t>133/2000 Sb., - Zákon o evidenci obyvatel,</w:t>
            </w:r>
          </w:p>
          <w:p w:rsidR="000007DB" w:rsidRDefault="003B1F11">
            <w:pPr>
              <w:jc w:val="left"/>
            </w:pPr>
            <w:r>
              <w:rPr>
                <w:color w:val="000000"/>
                <w:sz w:val="20"/>
              </w:rPr>
              <w:t>296/2004 Sb., - Vyhláška, kterou se provádí zákon o evidenci obyvatel,</w:t>
            </w:r>
          </w:p>
          <w:p w:rsidR="000007DB" w:rsidRDefault="003B1F11">
            <w:pPr>
              <w:jc w:val="left"/>
            </w:pPr>
            <w:r>
              <w:rPr>
                <w:color w:val="000000"/>
                <w:sz w:val="20"/>
              </w:rPr>
              <w:t>500/2004 Sb., - Správní řád,</w:t>
            </w:r>
          </w:p>
          <w:p w:rsidR="000007DB" w:rsidRDefault="003B1F11">
            <w:pPr>
              <w:jc w:val="left"/>
            </w:pPr>
            <w:r>
              <w:rPr>
                <w:color w:val="000000"/>
                <w:sz w:val="20"/>
              </w:rPr>
              <w:t>634/2004 Sb., - Zákon o správních poplatcích,</w:t>
            </w:r>
          </w:p>
          <w:p w:rsidR="000007DB" w:rsidRDefault="003B1F11">
            <w:pPr>
              <w:jc w:val="left"/>
            </w:pPr>
            <w:r>
              <w:rPr>
                <w:color w:val="000000"/>
                <w:sz w:val="20"/>
              </w:rPr>
              <w:t>561/2004 Sb., - Školský zákon,</w:t>
            </w:r>
          </w:p>
          <w:p w:rsidR="000007DB" w:rsidRDefault="000007DB">
            <w:pPr>
              <w:spacing w:after="120" w:line="276" w:lineRule="auto"/>
              <w:contextualSpacing/>
              <w:jc w:val="left"/>
              <w:rPr>
                <w:rFonts w:cs="Arial"/>
              </w:rPr>
            </w:pPr>
          </w:p>
        </w:tc>
      </w:tr>
      <w:tr w:rsidR="000007DB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0007DB" w:rsidRDefault="003B1F11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0007DB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007DB" w:rsidRDefault="003B1F11">
            <w:pPr>
              <w:widowControl w:val="0"/>
              <w:spacing w:before="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Všichni občané ČR a vazebně i cizinci. Obyvatelé uvedení v § 1 odst. 1 zákona 133/2000 Sb. Klienti - žadatelé</w:t>
            </w:r>
          </w:p>
        </w:tc>
      </w:tr>
      <w:tr w:rsidR="000007DB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0007DB" w:rsidRDefault="003B1F1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0007DB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007DB" w:rsidRDefault="003B1F11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t>Jméno, příjmení, datum narození, místo narození, rodné číslo, trvalé bydliště, doručovací adresa, předchozí pobyt, číslo OP, omezení způsobilosti, údaje o opatrovníkovi, oprávněná osoba, podpis</w:t>
            </w:r>
          </w:p>
          <w:p w:rsidR="000007DB" w:rsidRDefault="000007DB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</w:p>
        </w:tc>
      </w:tr>
      <w:tr w:rsidR="000007DB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0007DB" w:rsidRDefault="003B1F11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color w:val="000000"/>
                <w:lang w:eastAsia="cs-CZ"/>
              </w:rPr>
              <w:t>IV. Kategorie příjemců (zpřístupnění)</w:t>
            </w:r>
          </w:p>
        </w:tc>
      </w:tr>
      <w:tr w:rsidR="000007DB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007DB" w:rsidRDefault="003B1F11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Evidence </w:t>
            </w:r>
            <w:proofErr w:type="gramStart"/>
            <w:r>
              <w:rPr>
                <w:rFonts w:cs="Arial"/>
                <w:lang w:eastAsia="cs-CZ"/>
              </w:rPr>
              <w:t>obyvatel  je</w:t>
            </w:r>
            <w:proofErr w:type="gramEnd"/>
            <w:r>
              <w:rPr>
                <w:rFonts w:cs="Arial"/>
                <w:lang w:eastAsia="cs-CZ"/>
              </w:rPr>
              <w:t xml:space="preserve"> zpřístupněna zaměstnancům úřadu</w:t>
            </w:r>
          </w:p>
        </w:tc>
      </w:tr>
      <w:tr w:rsidR="000007DB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0007DB" w:rsidRDefault="003B1F11">
            <w:pPr>
              <w:spacing w:before="60" w:after="60" w:line="240" w:lineRule="auto"/>
            </w:pPr>
            <w:r>
              <w:rPr>
                <w:rFonts w:cs="Arial"/>
                <w:b/>
                <w:lang w:eastAsia="cs-CZ"/>
              </w:rPr>
              <w:t>V. Plánované lhůty pro výmaz kategorií osobních údajů (doba uložení)</w:t>
            </w:r>
          </w:p>
        </w:tc>
      </w:tr>
      <w:tr w:rsidR="000007DB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007DB" w:rsidRDefault="003B1F11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t xml:space="preserve">605 Evidence obyvatel  </w:t>
            </w:r>
          </w:p>
          <w:p w:rsidR="000007DB" w:rsidRDefault="003B1F11">
            <w:pPr>
              <w:jc w:val="left"/>
            </w:pPr>
            <w:r>
              <w:rPr>
                <w:color w:val="000000"/>
                <w:sz w:val="20"/>
              </w:rPr>
              <w:t xml:space="preserve">605.1 Evidence obyvatel  </w:t>
            </w:r>
          </w:p>
          <w:p w:rsidR="000007DB" w:rsidRDefault="003B1F11">
            <w:pPr>
              <w:jc w:val="left"/>
            </w:pPr>
            <w:r>
              <w:rPr>
                <w:color w:val="000000"/>
                <w:sz w:val="20"/>
              </w:rPr>
              <w:t>605.1.1 Hlášení evidenci obyvatel (zbavení nebo omezení způsobilosti k právním úkonům, zákaz pobytu) V5</w:t>
            </w:r>
          </w:p>
          <w:p w:rsidR="000007DB" w:rsidRDefault="003B1F11">
            <w:pPr>
              <w:jc w:val="left"/>
            </w:pPr>
            <w:r>
              <w:rPr>
                <w:color w:val="000000"/>
                <w:sz w:val="20"/>
              </w:rPr>
              <w:t xml:space="preserve">605.1.2 Ostatní hlášení (narození, manželství, úmrtí, rozvody, stěhování aj.) </w:t>
            </w:r>
            <w:r w:rsidR="00C465E8">
              <w:rPr>
                <w:color w:val="000000"/>
                <w:sz w:val="20"/>
              </w:rPr>
              <w:t>V/5</w:t>
            </w:r>
          </w:p>
          <w:p w:rsidR="000007DB" w:rsidRDefault="003B1F11">
            <w:pPr>
              <w:jc w:val="left"/>
            </w:pPr>
            <w:r>
              <w:rPr>
                <w:color w:val="000000"/>
                <w:sz w:val="20"/>
              </w:rPr>
              <w:t>605.2 Národnostní menšiny V5</w:t>
            </w:r>
          </w:p>
          <w:p w:rsidR="000007DB" w:rsidRDefault="003B1F11">
            <w:pPr>
              <w:jc w:val="left"/>
            </w:pPr>
            <w:r>
              <w:rPr>
                <w:color w:val="000000"/>
                <w:sz w:val="20"/>
              </w:rPr>
              <w:lastRenderedPageBreak/>
              <w:t>605.3 Uprchlíci V5</w:t>
            </w:r>
          </w:p>
          <w:p w:rsidR="000007DB" w:rsidRDefault="003B1F11">
            <w:pPr>
              <w:jc w:val="left"/>
            </w:pPr>
            <w:r>
              <w:rPr>
                <w:color w:val="000000"/>
                <w:sz w:val="20"/>
              </w:rPr>
              <w:t>605.4 Rozhodování o zrušení trvalého pobytu V5</w:t>
            </w:r>
          </w:p>
          <w:p w:rsidR="000007DB" w:rsidRDefault="003B1F11">
            <w:pPr>
              <w:jc w:val="left"/>
            </w:pPr>
            <w:r>
              <w:rPr>
                <w:color w:val="000000"/>
                <w:sz w:val="20"/>
              </w:rPr>
              <w:t xml:space="preserve">605.5 Přihlašovací lístek k trvalému pobytu </w:t>
            </w:r>
            <w:r w:rsidR="00460CA8">
              <w:rPr>
                <w:color w:val="000000"/>
                <w:sz w:val="20"/>
              </w:rPr>
              <w:t>S 50</w:t>
            </w:r>
          </w:p>
          <w:p w:rsidR="000007DB" w:rsidRDefault="003B1F11" w:rsidP="00460CA8">
            <w:pPr>
              <w:spacing w:before="0" w:after="200" w:line="240" w:lineRule="auto"/>
              <w:jc w:val="left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605.6 Evidence vydaných potvrzení o změně místa trvalého pobytu S</w:t>
            </w:r>
            <w:r w:rsidR="00460CA8">
              <w:rPr>
                <w:rFonts w:cs="Arial"/>
                <w:color w:val="000000"/>
                <w:sz w:val="20"/>
                <w:lang w:eastAsia="cs-CZ"/>
              </w:rPr>
              <w:t>1</w:t>
            </w:r>
          </w:p>
        </w:tc>
      </w:tr>
      <w:tr w:rsidR="000007DB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0007DB" w:rsidRDefault="003B1F11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lastRenderedPageBreak/>
              <w:t>VI. Obecný popis technických a organizačních bezpečnostních opatření</w:t>
            </w:r>
          </w:p>
        </w:tc>
      </w:tr>
      <w:tr w:rsidR="000007DB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007DB" w:rsidRDefault="003B1F11">
            <w:pPr>
              <w:widowControl w:val="0"/>
              <w:spacing w:before="0" w:line="240" w:lineRule="auto"/>
            </w:pPr>
            <w:r>
              <w:t>Přihlašovací lístky – kartotéky v uzamčené skříni</w:t>
            </w:r>
          </w:p>
          <w:p w:rsidR="000007DB" w:rsidRDefault="000007DB">
            <w:pPr>
              <w:widowControl w:val="0"/>
              <w:spacing w:before="0" w:line="240" w:lineRule="auto"/>
            </w:pPr>
          </w:p>
          <w:p w:rsidR="000007DB" w:rsidRDefault="003B1F11">
            <w:pPr>
              <w:widowControl w:val="0"/>
              <w:spacing w:before="0" w:line="240" w:lineRule="auto"/>
            </w:pPr>
            <w:r>
              <w:t>Žádosti o výpisy z IS – uzamčená skříňka</w:t>
            </w:r>
          </w:p>
          <w:p w:rsidR="000007DB" w:rsidRDefault="000007DB">
            <w:pPr>
              <w:widowControl w:val="0"/>
              <w:spacing w:before="0" w:line="240" w:lineRule="auto"/>
            </w:pPr>
          </w:p>
          <w:p w:rsidR="000007DB" w:rsidRDefault="003B1F11">
            <w:pPr>
              <w:widowControl w:val="0"/>
              <w:spacing w:before="0" w:line="240" w:lineRule="auto"/>
            </w:pPr>
            <w:r>
              <w:t>Dotazníky – uzamčená skříňka</w:t>
            </w:r>
          </w:p>
          <w:p w:rsidR="000007DB" w:rsidRDefault="003B1F11">
            <w:pPr>
              <w:widowControl w:val="0"/>
              <w:spacing w:before="0" w:line="240" w:lineRule="auto"/>
            </w:pPr>
            <w:r>
              <w:t>Program MV ČR – CDBP</w:t>
            </w:r>
          </w:p>
          <w:p w:rsidR="000007DB" w:rsidRDefault="003B1F11">
            <w:pPr>
              <w:widowControl w:val="0"/>
              <w:spacing w:before="0" w:line="240" w:lineRule="auto"/>
            </w:pPr>
            <w:r>
              <w:t xml:space="preserve">Program </w:t>
            </w:r>
            <w:proofErr w:type="gramStart"/>
            <w:r>
              <w:t>MV  ČR</w:t>
            </w:r>
            <w:proofErr w:type="gramEnd"/>
            <w:r>
              <w:t xml:space="preserve"> – WYSSE </w:t>
            </w:r>
          </w:p>
          <w:p w:rsidR="000007DB" w:rsidRDefault="003B1F11">
            <w:pPr>
              <w:widowControl w:val="0"/>
              <w:spacing w:before="0" w:line="240" w:lineRule="auto"/>
            </w:pPr>
            <w:r>
              <w:t xml:space="preserve">Czech point </w:t>
            </w:r>
          </w:p>
          <w:p w:rsidR="000007DB" w:rsidRDefault="003B1F11">
            <w:pPr>
              <w:widowControl w:val="0"/>
              <w:spacing w:before="0" w:line="240" w:lineRule="auto"/>
            </w:pPr>
            <w:r>
              <w:t>Spisová služba, kartotéka, úřední deska</w:t>
            </w:r>
          </w:p>
          <w:p w:rsidR="000007DB" w:rsidRDefault="003B1F11">
            <w:pPr>
              <w:widowControl w:val="0"/>
              <w:spacing w:before="0" w:line="240" w:lineRule="auto"/>
            </w:pPr>
            <w:r>
              <w:t>Dálkový přístup do katastru nemovitostí</w:t>
            </w:r>
          </w:p>
          <w:p w:rsidR="000007DB" w:rsidRDefault="003B1F11">
            <w:pPr>
              <w:widowControl w:val="0"/>
              <w:spacing w:before="0" w:line="240" w:lineRule="auto"/>
            </w:pPr>
            <w:r>
              <w:t>e-maily</w:t>
            </w:r>
          </w:p>
          <w:p w:rsidR="000007DB" w:rsidRDefault="003B1F11">
            <w:pPr>
              <w:widowControl w:val="0"/>
              <w:spacing w:before="0" w:line="240" w:lineRule="auto"/>
            </w:pPr>
            <w:proofErr w:type="spellStart"/>
            <w:r>
              <w:t>Ruian</w:t>
            </w:r>
            <w:proofErr w:type="spellEnd"/>
            <w:r>
              <w:t xml:space="preserve"> </w:t>
            </w:r>
          </w:p>
          <w:p w:rsidR="000007DB" w:rsidRDefault="000007DB">
            <w:pPr>
              <w:widowControl w:val="0"/>
              <w:spacing w:before="0" w:line="240" w:lineRule="auto"/>
            </w:pPr>
          </w:p>
          <w:p w:rsidR="000007DB" w:rsidRDefault="003B1F11">
            <w:pPr>
              <w:widowControl w:val="0"/>
              <w:spacing w:before="0" w:line="240" w:lineRule="auto"/>
            </w:pPr>
            <w:r>
              <w:t xml:space="preserve">Spisy – uzamčená skříňka </w:t>
            </w:r>
          </w:p>
          <w:p w:rsidR="000007DB" w:rsidRDefault="000007DB">
            <w:pPr>
              <w:widowControl w:val="0"/>
              <w:spacing w:before="0" w:line="240" w:lineRule="auto"/>
            </w:pPr>
          </w:p>
          <w:p w:rsidR="000007DB" w:rsidRDefault="003B1F11">
            <w:pPr>
              <w:widowControl w:val="0"/>
              <w:spacing w:before="0" w:line="240" w:lineRule="auto"/>
            </w:pPr>
            <w:r>
              <w:t>Dopisy – uzamčená skříňka</w:t>
            </w:r>
          </w:p>
        </w:tc>
      </w:tr>
      <w:tr w:rsidR="000007DB">
        <w:trPr>
          <w:trHeight w:val="454"/>
        </w:trPr>
        <w:tc>
          <w:tcPr>
            <w:tcW w:w="9255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007DB" w:rsidRDefault="003B1F11">
            <w:pPr>
              <w:widowControl w:val="0"/>
              <w:spacing w:before="0" w:line="240" w:lineRule="auto"/>
            </w:pPr>
            <w:r>
              <w:t xml:space="preserve">Elektronicky </w:t>
            </w:r>
          </w:p>
          <w:p w:rsidR="000007DB" w:rsidRDefault="003B1F11">
            <w:pPr>
              <w:widowControl w:val="0"/>
              <w:spacing w:before="0" w:line="240" w:lineRule="auto"/>
            </w:pPr>
            <w:r>
              <w:t>Úřední deska</w:t>
            </w:r>
          </w:p>
          <w:p w:rsidR="000007DB" w:rsidRDefault="003B1F11">
            <w:pPr>
              <w:widowControl w:val="0"/>
              <w:spacing w:before="0" w:line="240" w:lineRule="auto"/>
            </w:pPr>
            <w:r>
              <w:t>Program MV ČR – CDBP</w:t>
            </w:r>
          </w:p>
          <w:p w:rsidR="000007DB" w:rsidRDefault="003B1F11">
            <w:pPr>
              <w:widowControl w:val="0"/>
              <w:spacing w:before="0" w:line="240" w:lineRule="auto"/>
            </w:pPr>
            <w:r>
              <w:t xml:space="preserve">Program </w:t>
            </w:r>
            <w:proofErr w:type="gramStart"/>
            <w:r>
              <w:t>MV  ČR</w:t>
            </w:r>
            <w:proofErr w:type="gramEnd"/>
            <w:r>
              <w:t xml:space="preserve"> – WYSSE </w:t>
            </w:r>
          </w:p>
          <w:p w:rsidR="000007DB" w:rsidRDefault="003B1F11">
            <w:pPr>
              <w:widowControl w:val="0"/>
              <w:spacing w:before="0" w:line="240" w:lineRule="auto"/>
            </w:pPr>
            <w:r>
              <w:t xml:space="preserve">Czech point </w:t>
            </w:r>
          </w:p>
          <w:p w:rsidR="000007DB" w:rsidRDefault="003B1F11">
            <w:pPr>
              <w:widowControl w:val="0"/>
              <w:spacing w:before="0" w:line="240" w:lineRule="auto"/>
            </w:pPr>
            <w:r>
              <w:t>Spisová s</w:t>
            </w:r>
            <w:r w:rsidR="00460CA8">
              <w:t>lužba, kartotéka, úřední deska</w:t>
            </w:r>
            <w:bookmarkStart w:id="0" w:name="_GoBack"/>
            <w:bookmarkEnd w:id="0"/>
          </w:p>
          <w:p w:rsidR="000007DB" w:rsidRDefault="003B1F11">
            <w:pPr>
              <w:widowControl w:val="0"/>
              <w:spacing w:before="0" w:line="240" w:lineRule="auto"/>
            </w:pPr>
            <w:r>
              <w:t>Dálkový přístup do katastru nemovitostí</w:t>
            </w:r>
          </w:p>
          <w:p w:rsidR="000007DB" w:rsidRDefault="003B1F11">
            <w:pPr>
              <w:widowControl w:val="0"/>
              <w:spacing w:before="0" w:line="240" w:lineRule="auto"/>
            </w:pPr>
            <w:r>
              <w:t>e-maily</w:t>
            </w:r>
          </w:p>
          <w:p w:rsidR="000007DB" w:rsidRDefault="003B1F11">
            <w:pPr>
              <w:widowControl w:val="0"/>
              <w:spacing w:before="0" w:line="240" w:lineRule="auto"/>
            </w:pPr>
            <w:proofErr w:type="spellStart"/>
            <w:r>
              <w:t>Ruian</w:t>
            </w:r>
            <w:proofErr w:type="spellEnd"/>
            <w:r>
              <w:t xml:space="preserve"> </w:t>
            </w:r>
          </w:p>
          <w:p w:rsidR="000007DB" w:rsidRDefault="000007DB">
            <w:pPr>
              <w:widowControl w:val="0"/>
              <w:spacing w:before="0" w:line="240" w:lineRule="auto"/>
            </w:pPr>
          </w:p>
        </w:tc>
      </w:tr>
    </w:tbl>
    <w:p w:rsidR="000007DB" w:rsidRDefault="000007DB"/>
    <w:sectPr w:rsidR="000007DB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B6B0C"/>
    <w:multiLevelType w:val="multilevel"/>
    <w:tmpl w:val="D232739C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D53869"/>
    <w:multiLevelType w:val="multilevel"/>
    <w:tmpl w:val="AFAE43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DB"/>
    <w:rsid w:val="000007DB"/>
    <w:rsid w:val="003B1F11"/>
    <w:rsid w:val="00460CA8"/>
    <w:rsid w:val="00C4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3656100-43C1-4EF6-9744-890976DF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line="288" w:lineRule="auto"/>
      <w:jc w:val="both"/>
    </w:pPr>
    <w:rPr>
      <w:rFonts w:ascii="Arial" w:eastAsia="Times New Roman" w:hAnsi="Arial" w:cs="Times New Roman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Aria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CzechPoint</cp:lastModifiedBy>
  <cp:revision>18</cp:revision>
  <dcterms:created xsi:type="dcterms:W3CDTF">2018-02-15T11:11:00Z</dcterms:created>
  <dcterms:modified xsi:type="dcterms:W3CDTF">2019-05-21T13:33:00Z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